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E0" w:rsidRPr="00201D0B" w:rsidRDefault="00517CE0" w:rsidP="00201D0B">
      <w:pPr>
        <w:jc w:val="center"/>
        <w:rPr>
          <w:sz w:val="32"/>
          <w:szCs w:val="32"/>
        </w:rPr>
      </w:pPr>
      <w:r w:rsidRPr="00201D0B">
        <w:rPr>
          <w:sz w:val="32"/>
          <w:szCs w:val="32"/>
        </w:rPr>
        <w:t>Appeals to the CIAC Eligibility Committee and Eligibility Review Board</w:t>
      </w:r>
    </w:p>
    <w:p w:rsidR="00191166" w:rsidRDefault="00191166" w:rsidP="00201D0B">
      <w:pPr>
        <w:pStyle w:val="ListParagraph"/>
        <w:numPr>
          <w:ilvl w:val="0"/>
          <w:numId w:val="1"/>
        </w:numPr>
      </w:pPr>
      <w:r>
        <w:t>Appeals</w:t>
      </w:r>
      <w:r w:rsidR="0096608B">
        <w:t xml:space="preserve"> to the CIAC Eligibility Committee concern CIAC Rules of Eligibility found in Appendix </w:t>
      </w:r>
      <w:proofErr w:type="gramStart"/>
      <w:r w:rsidR="0096608B">
        <w:t>B(</w:t>
      </w:r>
      <w:proofErr w:type="gramEnd"/>
      <w:r w:rsidR="0096608B">
        <w:t xml:space="preserve">p.206).  Appeals usually address </w:t>
      </w:r>
      <w:proofErr w:type="gramStart"/>
      <w:r w:rsidR="0096608B">
        <w:t>scholarship(</w:t>
      </w:r>
      <w:proofErr w:type="gramEnd"/>
      <w:r w:rsidR="0096608B">
        <w:t>grades/credits), age, eight semester rule, and the transfer rule.</w:t>
      </w:r>
    </w:p>
    <w:p w:rsidR="00325072" w:rsidRDefault="00325072" w:rsidP="00201D0B">
      <w:pPr>
        <w:pStyle w:val="ListParagraph"/>
        <w:numPr>
          <w:ilvl w:val="0"/>
          <w:numId w:val="1"/>
        </w:numPr>
      </w:pPr>
      <w:r>
        <w:t>The CIAC Eligibility Committee consists of six principals and one assistant principal.</w:t>
      </w:r>
    </w:p>
    <w:p w:rsidR="0096608B" w:rsidRDefault="0096608B" w:rsidP="0096608B">
      <w:pPr>
        <w:pStyle w:val="ListParagraph"/>
        <w:numPr>
          <w:ilvl w:val="0"/>
          <w:numId w:val="1"/>
        </w:numPr>
      </w:pPr>
      <w:r>
        <w:t xml:space="preserve">The appeal process begins when the </w:t>
      </w:r>
      <w:r>
        <w:t xml:space="preserve">member school </w:t>
      </w:r>
      <w:r>
        <w:t>principal decides to appeal on behalf of the student-athlete to the CIAC Eligibility Committee.</w:t>
      </w:r>
      <w:r>
        <w:t xml:space="preserve"> </w:t>
      </w:r>
    </w:p>
    <w:p w:rsidR="002A44ED" w:rsidRDefault="0096608B" w:rsidP="0096608B">
      <w:pPr>
        <w:pStyle w:val="ListParagraph"/>
        <w:numPr>
          <w:ilvl w:val="0"/>
          <w:numId w:val="1"/>
        </w:numPr>
      </w:pPr>
      <w:r>
        <w:t xml:space="preserve">The member school principal initiates the appeal by sending a letter to CIAC Associate Executive Director </w:t>
      </w:r>
    </w:p>
    <w:p w:rsidR="00325072" w:rsidRDefault="0096608B" w:rsidP="002A44ED">
      <w:pPr>
        <w:pStyle w:val="ListParagraph"/>
      </w:pPr>
      <w:r>
        <w:t xml:space="preserve">Gregg </w:t>
      </w:r>
      <w:proofErr w:type="gramStart"/>
      <w:r>
        <w:t xml:space="preserve">Simon </w:t>
      </w:r>
      <w:r w:rsidRPr="0096608B">
        <w:t xml:space="preserve"> </w:t>
      </w:r>
      <w:proofErr w:type="gramEnd"/>
      <w:hyperlink r:id="rId5" w:history="1">
        <w:r w:rsidRPr="008B714F">
          <w:rPr>
            <w:rStyle w:val="Hyperlink"/>
          </w:rPr>
          <w:t>gsimon@casciac.org</w:t>
        </w:r>
      </w:hyperlink>
      <w:r>
        <w:t xml:space="preserve"> who is the CIAC liaison  to the CIAC Eligibility Committee. </w:t>
      </w:r>
      <w:r w:rsidR="00201D0B">
        <w:t xml:space="preserve">This letter should include the name of the student-athlete, the rule that you are appealing, and the reasons for the appeal. </w:t>
      </w:r>
      <w:r w:rsidR="00602D0A">
        <w:t xml:space="preserve"> </w:t>
      </w:r>
      <w:r w:rsidR="00201D0B">
        <w:t xml:space="preserve">Supplemental materials such as the student-athlete’s transcript, a letter from a parent or student-athlete explaining the situation, etc. </w:t>
      </w:r>
      <w:r w:rsidR="00325072">
        <w:t>are helpful as the committee considers the appeal.</w:t>
      </w:r>
      <w:r>
        <w:t xml:space="preserve"> </w:t>
      </w:r>
      <w:r w:rsidR="002A44ED">
        <w:t>The letter and supplemental materials should be sent to the CIAC office at least seven days before the committee meeting.</w:t>
      </w:r>
    </w:p>
    <w:p w:rsidR="00325072" w:rsidRDefault="00325072" w:rsidP="0096608B">
      <w:pPr>
        <w:pStyle w:val="ListParagraph"/>
        <w:numPr>
          <w:ilvl w:val="0"/>
          <w:numId w:val="1"/>
        </w:numPr>
      </w:pPr>
      <w:r>
        <w:t>The committee reads all of the materials and then renders a decision.</w:t>
      </w:r>
      <w:r w:rsidR="00C773D8">
        <w:t xml:space="preserve">  The CIAC office contacts the school to inform the school of the decision.</w:t>
      </w:r>
    </w:p>
    <w:p w:rsidR="0096608B" w:rsidRDefault="00325072" w:rsidP="0096608B">
      <w:pPr>
        <w:pStyle w:val="ListParagraph"/>
        <w:numPr>
          <w:ilvl w:val="0"/>
          <w:numId w:val="1"/>
        </w:numPr>
      </w:pPr>
      <w:r>
        <w:t xml:space="preserve">The CIAC Eligibility Committee </w:t>
      </w:r>
      <w:r w:rsidR="00602D0A">
        <w:t xml:space="preserve">will </w:t>
      </w:r>
      <w:r>
        <w:t>meet on the following dates.</w:t>
      </w:r>
      <w:r w:rsidR="0096608B">
        <w:t xml:space="preserve"> </w:t>
      </w:r>
    </w:p>
    <w:p w:rsidR="00201D0B" w:rsidRPr="00726532" w:rsidRDefault="00201D0B" w:rsidP="00201D0B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August 25, 2022</w:t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September 15, 2022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October </w:t>
      </w:r>
      <w:r>
        <w:rPr>
          <w:rFonts w:ascii="Times New Roman" w:hAnsi="Times New Roman"/>
        </w:rPr>
        <w:t>13, 2022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203B0C">
        <w:rPr>
          <w:rFonts w:ascii="Times New Roman" w:hAnsi="Times New Roman"/>
          <w:b/>
        </w:rPr>
        <w:t>Tuesday</w:t>
      </w:r>
      <w:r>
        <w:rPr>
          <w:rFonts w:ascii="Times New Roman" w:hAnsi="Times New Roman"/>
        </w:rPr>
        <w:t xml:space="preserve">, November 15, 2022   </w:t>
      </w:r>
      <w:r w:rsidRPr="00726532">
        <w:rPr>
          <w:rFonts w:ascii="Times New Roman" w:hAnsi="Times New Roman"/>
        </w:rPr>
        <w:t xml:space="preserve"> </w:t>
      </w:r>
      <w:r w:rsidRPr="00726532">
        <w:rPr>
          <w:rFonts w:ascii="Times New Roman" w:hAnsi="Times New Roman"/>
          <w:b/>
        </w:rPr>
        <w:t>(Special Meeting if needed)</w:t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December </w:t>
      </w:r>
      <w:r>
        <w:rPr>
          <w:rFonts w:ascii="Times New Roman" w:hAnsi="Times New Roman"/>
        </w:rPr>
        <w:t>1, 2022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January </w:t>
      </w:r>
      <w:r>
        <w:rPr>
          <w:rFonts w:ascii="Times New Roman" w:hAnsi="Times New Roman"/>
        </w:rPr>
        <w:t>12, 2023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</w:t>
      </w:r>
      <w:r>
        <w:rPr>
          <w:rFonts w:ascii="Times New Roman" w:hAnsi="Times New Roman"/>
        </w:rPr>
        <w:t>February 16, 2023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BE2005" w:rsidRDefault="00201D0B" w:rsidP="00201D0B">
      <w:pPr>
        <w:pStyle w:val="Heading1"/>
      </w:pPr>
      <w:r w:rsidRPr="00655F30">
        <w:rPr>
          <w:b w:val="0"/>
        </w:rPr>
        <w:t>Thursday, March 1</w:t>
      </w:r>
      <w:r>
        <w:rPr>
          <w:b w:val="0"/>
        </w:rPr>
        <w:t>6</w:t>
      </w:r>
      <w:r w:rsidRPr="00655F30">
        <w:rPr>
          <w:b w:val="0"/>
        </w:rPr>
        <w:t>, 202</w:t>
      </w:r>
      <w:r>
        <w:rPr>
          <w:b w:val="0"/>
        </w:rPr>
        <w:t xml:space="preserve">3 </w:t>
      </w:r>
      <w:r>
        <w:t xml:space="preserve">  (Special Meeting if needed)</w:t>
      </w:r>
    </w:p>
    <w:p w:rsidR="00201D0B" w:rsidRDefault="00201D0B" w:rsidP="00201D0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March 30, 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1D0B" w:rsidRDefault="00201D0B" w:rsidP="00201D0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May 4, 2023    (</w:t>
      </w:r>
      <w:r>
        <w:rPr>
          <w:rFonts w:ascii="Times New Roman" w:hAnsi="Times New Roman"/>
          <w:b/>
        </w:rPr>
        <w:t>If needed)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1D0B" w:rsidRDefault="00201D0B" w:rsidP="00201D0B">
      <w:pPr>
        <w:spacing w:after="0"/>
        <w:ind w:firstLine="720"/>
        <w:rPr>
          <w:rFonts w:ascii="Times New Roman" w:hAnsi="Times New Roman"/>
        </w:rPr>
      </w:pPr>
    </w:p>
    <w:p w:rsidR="00201D0B" w:rsidRPr="00602D0A" w:rsidRDefault="00325072" w:rsidP="0032507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602D0A">
        <w:rPr>
          <w:rFonts w:cstheme="minorHAnsi"/>
        </w:rPr>
        <w:t>If an appeal is denied</w:t>
      </w:r>
      <w:r w:rsidR="00773E93" w:rsidRPr="00602D0A">
        <w:rPr>
          <w:rFonts w:cstheme="minorHAnsi"/>
        </w:rPr>
        <w:t xml:space="preserve"> by the CIAC Eligibility Committee</w:t>
      </w:r>
      <w:r w:rsidRPr="00602D0A">
        <w:rPr>
          <w:rFonts w:cstheme="minorHAnsi"/>
        </w:rPr>
        <w:t xml:space="preserve">, the member school principal has the right to appeal to the CIAC Eligibility </w:t>
      </w:r>
      <w:r w:rsidR="004B73EE">
        <w:rPr>
          <w:rFonts w:cstheme="minorHAnsi"/>
        </w:rPr>
        <w:t xml:space="preserve">Review </w:t>
      </w:r>
      <w:r w:rsidRPr="00602D0A">
        <w:rPr>
          <w:rFonts w:cstheme="minorHAnsi"/>
        </w:rPr>
        <w:t>Board.</w:t>
      </w:r>
    </w:p>
    <w:p w:rsidR="00C40F55" w:rsidRPr="00602D0A" w:rsidRDefault="00C40F55" w:rsidP="0032507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602D0A">
        <w:rPr>
          <w:rFonts w:cstheme="minorHAnsi"/>
        </w:rPr>
        <w:t>The Eligibility Review Board consists of</w:t>
      </w:r>
      <w:r w:rsidR="00773E93" w:rsidRPr="00602D0A">
        <w:rPr>
          <w:rFonts w:cstheme="minorHAnsi"/>
        </w:rPr>
        <w:t xml:space="preserve"> nine principals, one assistant principal and one superintendent.</w:t>
      </w:r>
    </w:p>
    <w:p w:rsidR="00773E93" w:rsidRPr="00602D0A" w:rsidRDefault="00773E93" w:rsidP="00773E93">
      <w:pPr>
        <w:pStyle w:val="ListParagraph"/>
        <w:numPr>
          <w:ilvl w:val="0"/>
          <w:numId w:val="2"/>
        </w:numPr>
        <w:rPr>
          <w:rFonts w:cstheme="minorHAnsi"/>
        </w:rPr>
      </w:pPr>
      <w:r w:rsidRPr="00602D0A">
        <w:rPr>
          <w:rFonts w:cstheme="minorHAnsi"/>
        </w:rPr>
        <w:t xml:space="preserve">The appeal process begins when the member school </w:t>
      </w:r>
      <w:r w:rsidR="00C773D8">
        <w:rPr>
          <w:rFonts w:cstheme="minorHAnsi"/>
        </w:rPr>
        <w:t>principal contacts the CIAC office seeking an</w:t>
      </w:r>
      <w:r w:rsidRPr="00602D0A">
        <w:rPr>
          <w:rFonts w:cstheme="minorHAnsi"/>
        </w:rPr>
        <w:t xml:space="preserve"> appeal on behalf of the student-athlete to the CIAC El</w:t>
      </w:r>
      <w:r w:rsidRPr="00602D0A">
        <w:rPr>
          <w:rFonts w:cstheme="minorHAnsi"/>
        </w:rPr>
        <w:t>igibility</w:t>
      </w:r>
      <w:r w:rsidR="004B73EE">
        <w:rPr>
          <w:rFonts w:cstheme="minorHAnsi"/>
        </w:rPr>
        <w:t xml:space="preserve"> Review</w:t>
      </w:r>
      <w:r w:rsidRPr="00602D0A">
        <w:rPr>
          <w:rFonts w:cstheme="minorHAnsi"/>
        </w:rPr>
        <w:t xml:space="preserve"> Board</w:t>
      </w:r>
      <w:r w:rsidRPr="00602D0A">
        <w:rPr>
          <w:rFonts w:cstheme="minorHAnsi"/>
        </w:rPr>
        <w:t xml:space="preserve">. </w:t>
      </w:r>
    </w:p>
    <w:p w:rsidR="00C773D8" w:rsidRPr="00C773D8" w:rsidRDefault="00773E93" w:rsidP="00C773D8">
      <w:pPr>
        <w:pStyle w:val="ListParagraph"/>
        <w:numPr>
          <w:ilvl w:val="0"/>
          <w:numId w:val="1"/>
        </w:numPr>
      </w:pPr>
      <w:r w:rsidRPr="00602D0A">
        <w:rPr>
          <w:rFonts w:cstheme="minorHAnsi"/>
        </w:rPr>
        <w:t>Either an in person meeting or a Zoom meeting is set up to hear the appeal.</w:t>
      </w:r>
      <w:r w:rsidR="00602D0A" w:rsidRPr="00602D0A">
        <w:rPr>
          <w:rFonts w:cstheme="minorHAnsi"/>
        </w:rPr>
        <w:t xml:space="preserve">  </w:t>
      </w:r>
      <w:r w:rsidR="00602D0A" w:rsidRPr="00602D0A">
        <w:rPr>
          <w:rFonts w:cstheme="minorHAnsi"/>
          <w:color w:val="222222"/>
          <w:shd w:val="clear" w:color="auto" w:fill="FFFFFF"/>
        </w:rPr>
        <w:t xml:space="preserve">Anyone can attend this meeting but typically it would be the principal, athletic director, parent(s), student-athlete and sometimes the coach.  </w:t>
      </w:r>
      <w:r w:rsidR="00C773D8">
        <w:rPr>
          <w:rFonts w:cstheme="minorHAnsi"/>
          <w:color w:val="222222"/>
          <w:shd w:val="clear" w:color="auto" w:fill="FFFFFF"/>
        </w:rPr>
        <w:t>The meeting format consists of</w:t>
      </w:r>
      <w:r w:rsidR="00602D0A" w:rsidRPr="00602D0A">
        <w:rPr>
          <w:rFonts w:cstheme="minorHAnsi"/>
          <w:color w:val="222222"/>
          <w:shd w:val="clear" w:color="auto" w:fill="FFFFFF"/>
        </w:rPr>
        <w:t xml:space="preserve"> introductions, a presentation by the school and questions by members of the CIAC Eligibility Review Board.  The school will leave the meeting, the ERB will deliberate and render a decision</w:t>
      </w:r>
      <w:r w:rsidR="00602D0A">
        <w:rPr>
          <w:rFonts w:cstheme="minorHAnsi"/>
          <w:color w:val="222222"/>
          <w:shd w:val="clear" w:color="auto" w:fill="FFFFFF"/>
        </w:rPr>
        <w:t>.</w:t>
      </w:r>
      <w:r w:rsidR="00C773D8" w:rsidRPr="00C773D8">
        <w:t xml:space="preserve"> </w:t>
      </w:r>
      <w:r w:rsidR="00C773D8">
        <w:t>The CIAC office contacts the school to inform the school of the decision.</w:t>
      </w:r>
    </w:p>
    <w:p w:rsidR="00602D0A" w:rsidRPr="00602D0A" w:rsidRDefault="00602D0A" w:rsidP="005A512E">
      <w:pPr>
        <w:pStyle w:val="ListParagraph"/>
        <w:numPr>
          <w:ilvl w:val="0"/>
          <w:numId w:val="1"/>
        </w:numPr>
      </w:pPr>
      <w:r>
        <w:t>The CIAC Eligibili</w:t>
      </w:r>
      <w:r>
        <w:t>ty Review Board</w:t>
      </w:r>
      <w:r>
        <w:t xml:space="preserve"> </w:t>
      </w:r>
      <w:r>
        <w:t xml:space="preserve">will </w:t>
      </w:r>
      <w:r>
        <w:t xml:space="preserve">meet on the following dates. 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September 1,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September 29,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October 27,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November 17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December 15,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January 26, 2023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March 2, 2023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April 13, 2023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May 18, 2023 (If needed)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spacing w:after="0"/>
        <w:rPr>
          <w:rFonts w:ascii="Times New Roman" w:hAnsi="Times New Roman"/>
        </w:rPr>
      </w:pPr>
    </w:p>
    <w:p w:rsidR="00201D0B" w:rsidRDefault="00201D0B" w:rsidP="0096608B">
      <w:bookmarkStart w:id="0" w:name="_GoBack"/>
      <w:bookmarkEnd w:id="0"/>
    </w:p>
    <w:sectPr w:rsidR="00201D0B" w:rsidSect="00201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D98"/>
    <w:multiLevelType w:val="hybridMultilevel"/>
    <w:tmpl w:val="23B4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E83"/>
    <w:multiLevelType w:val="hybridMultilevel"/>
    <w:tmpl w:val="EAB8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E0"/>
    <w:rsid w:val="00191166"/>
    <w:rsid w:val="00201D0B"/>
    <w:rsid w:val="002A44ED"/>
    <w:rsid w:val="00325072"/>
    <w:rsid w:val="003C466F"/>
    <w:rsid w:val="004B73EE"/>
    <w:rsid w:val="00517CE0"/>
    <w:rsid w:val="00602D0A"/>
    <w:rsid w:val="00773E93"/>
    <w:rsid w:val="0096608B"/>
    <w:rsid w:val="00C40F55"/>
    <w:rsid w:val="00C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1330"/>
  <w15:chartTrackingRefBased/>
  <w15:docId w15:val="{DC924819-3F99-4355-AFAC-85C5DD3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D0B"/>
    <w:pPr>
      <w:keepNext/>
      <w:spacing w:after="0" w:line="276" w:lineRule="auto"/>
      <w:ind w:firstLine="720"/>
      <w:outlineLvl w:val="0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08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1D0B"/>
    <w:rPr>
      <w:rFonts w:ascii="Times New Roman" w:eastAsia="Calibri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imon@casci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Simon</dc:creator>
  <cp:keywords/>
  <dc:description/>
  <cp:lastModifiedBy>Greg Simon</cp:lastModifiedBy>
  <cp:revision>3</cp:revision>
  <cp:lastPrinted>2022-08-31T12:59:00Z</cp:lastPrinted>
  <dcterms:created xsi:type="dcterms:W3CDTF">2022-08-31T12:45:00Z</dcterms:created>
  <dcterms:modified xsi:type="dcterms:W3CDTF">2022-08-31T17:33:00Z</dcterms:modified>
</cp:coreProperties>
</file>